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58" w:rsidRPr="005B5858" w:rsidRDefault="005B5858" w:rsidP="005B5858">
      <w:pPr>
        <w:rPr>
          <w:rFonts w:asciiTheme="minorHAnsi" w:hAnsiTheme="minorHAnsi" w:cstheme="minorHAnsi"/>
          <w:szCs w:val="20"/>
        </w:rPr>
      </w:pPr>
      <w:r w:rsidRPr="005B5858">
        <w:rPr>
          <w:rFonts w:asciiTheme="minorHAnsi" w:hAnsiTheme="minorHAnsi" w:cstheme="minorHAnsi"/>
          <w:b/>
          <w:szCs w:val="20"/>
        </w:rPr>
        <w:t>138. MONOKLONÁLNÍ GAMAPATIE A CHOROBNÉ STAVY SPOJENÉ S MG, AMYLOIDÓZA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>proliferace klonu plazmatických buněk, které produkují elektrofor</w:t>
      </w:r>
      <w:r w:rsidRPr="005B5858">
        <w:rPr>
          <w:rFonts w:asciiTheme="minorHAnsi" w:hAnsiTheme="minorHAnsi" w:cstheme="minorHAnsi"/>
          <w:sz w:val="20"/>
          <w:szCs w:val="20"/>
        </w:rPr>
        <w:t xml:space="preserve">eticky a imunologicky homogenní </w:t>
      </w:r>
      <w:r w:rsidRPr="005B5858">
        <w:rPr>
          <w:rFonts w:asciiTheme="minorHAnsi" w:hAnsiTheme="minorHAnsi" w:cstheme="minorHAnsi"/>
          <w:sz w:val="20"/>
          <w:szCs w:val="20"/>
        </w:rPr>
        <w:t>(</w:t>
      </w:r>
      <w:r w:rsidRPr="005B5858">
        <w:rPr>
          <w:rFonts w:asciiTheme="minorHAnsi" w:hAnsiTheme="minorHAnsi" w:cstheme="minorHAnsi"/>
          <w:b/>
          <w:sz w:val="20"/>
          <w:szCs w:val="20"/>
        </w:rPr>
        <w:t>monoklonální</w:t>
      </w:r>
      <w:r w:rsidRPr="005B5858">
        <w:rPr>
          <w:rFonts w:asciiTheme="minorHAnsi" w:hAnsiTheme="minorHAnsi" w:cstheme="minorHAnsi"/>
          <w:sz w:val="20"/>
          <w:szCs w:val="20"/>
        </w:rPr>
        <w:t xml:space="preserve">) protein (M-komponenta, M-protein, </w:t>
      </w:r>
      <w:r w:rsidRPr="005B5858">
        <w:rPr>
          <w:rFonts w:asciiTheme="minorHAnsi" w:hAnsiTheme="minorHAnsi" w:cstheme="minorHAnsi"/>
          <w:b/>
          <w:sz w:val="20"/>
          <w:szCs w:val="20"/>
        </w:rPr>
        <w:t>paraprotein</w:t>
      </w:r>
      <w:r w:rsidRPr="005B5858">
        <w:rPr>
          <w:rFonts w:asciiTheme="minorHAnsi" w:hAnsiTheme="minorHAnsi" w:cstheme="minorHAnsi"/>
          <w:sz w:val="20"/>
          <w:szCs w:val="20"/>
        </w:rPr>
        <w:t>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 xml:space="preserve">každý M-protein se skládá ze </w:t>
      </w:r>
      <w:r w:rsidRPr="005B5858">
        <w:rPr>
          <w:rFonts w:asciiTheme="minorHAnsi" w:hAnsiTheme="minorHAnsi" w:cstheme="minorHAnsi"/>
          <w:sz w:val="20"/>
          <w:szCs w:val="20"/>
        </w:rPr>
        <w:t>2</w:t>
      </w:r>
      <w:r w:rsidRPr="005B5858">
        <w:rPr>
          <w:rFonts w:asciiTheme="minorHAnsi" w:hAnsiTheme="minorHAnsi" w:cstheme="minorHAnsi"/>
          <w:sz w:val="20"/>
          <w:szCs w:val="20"/>
        </w:rPr>
        <w:t xml:space="preserve"> těžkých polypeptidových řetězců a dvou lehkých řetězců stejného typu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 xml:space="preserve">těžké řetězce: 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67"/>
      </w:r>
      <w:r w:rsidRPr="005B5858">
        <w:rPr>
          <w:rFonts w:asciiTheme="minorHAnsi" w:hAnsiTheme="minorHAnsi" w:cstheme="minorHAnsi"/>
          <w:sz w:val="20"/>
          <w:szCs w:val="20"/>
        </w:rPr>
        <w:t xml:space="preserve"> (IgG), 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61"/>
      </w:r>
      <w:r w:rsidRPr="005B5858">
        <w:rPr>
          <w:rFonts w:asciiTheme="minorHAnsi" w:hAnsiTheme="minorHAnsi" w:cstheme="minorHAnsi"/>
          <w:sz w:val="20"/>
          <w:szCs w:val="20"/>
        </w:rPr>
        <w:t xml:space="preserve"> (IgA), 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6D"/>
      </w:r>
      <w:r w:rsidRPr="005B5858">
        <w:rPr>
          <w:rFonts w:asciiTheme="minorHAnsi" w:hAnsiTheme="minorHAnsi" w:cstheme="minorHAnsi"/>
          <w:sz w:val="20"/>
          <w:szCs w:val="20"/>
        </w:rPr>
        <w:t xml:space="preserve"> (IgM), 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64"/>
      </w:r>
      <w:r w:rsidRPr="005B5858">
        <w:rPr>
          <w:rFonts w:asciiTheme="minorHAnsi" w:hAnsiTheme="minorHAnsi" w:cstheme="minorHAnsi"/>
          <w:sz w:val="20"/>
          <w:szCs w:val="20"/>
        </w:rPr>
        <w:t xml:space="preserve"> (IgD), 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65"/>
      </w:r>
      <w:r w:rsidRPr="005B5858">
        <w:rPr>
          <w:rFonts w:asciiTheme="minorHAnsi" w:hAnsiTheme="minorHAnsi" w:cstheme="minorHAnsi"/>
          <w:sz w:val="20"/>
          <w:szCs w:val="20"/>
        </w:rPr>
        <w:t xml:space="preserve"> (IgE)</w:t>
      </w:r>
    </w:p>
    <w:p w:rsidR="005B5858" w:rsidRPr="005B5858" w:rsidRDefault="005B5858" w:rsidP="005B5858">
      <w:pPr>
        <w:rPr>
          <w:rFonts w:asciiTheme="minorHAnsi" w:hAnsiTheme="minorHAnsi" w:cstheme="minorHAnsi"/>
          <w:i/>
          <w:sz w:val="20"/>
          <w:szCs w:val="20"/>
        </w:rPr>
      </w:pPr>
    </w:p>
    <w:p w:rsidR="005B5858" w:rsidRPr="005B5858" w:rsidRDefault="005B5858" w:rsidP="005B5858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5B5858">
        <w:rPr>
          <w:rFonts w:asciiTheme="minorHAnsi" w:hAnsiTheme="minorHAnsi" w:cstheme="minorHAnsi"/>
          <w:b/>
          <w:i/>
          <w:sz w:val="20"/>
          <w:szCs w:val="20"/>
        </w:rPr>
        <w:t>Waldenstr</w:t>
      </w:r>
      <w:r w:rsidRPr="005B5858">
        <w:rPr>
          <w:rFonts w:asciiTheme="minorHAnsi" w:hAnsiTheme="minorHAnsi" w:cstheme="minorHAnsi"/>
          <w:b/>
          <w:i/>
          <w:sz w:val="20"/>
          <w:szCs w:val="20"/>
          <w:lang w:val="de-DE"/>
        </w:rPr>
        <w:t>ö</w:t>
      </w:r>
      <w:r w:rsidRPr="005B5858">
        <w:rPr>
          <w:rFonts w:asciiTheme="minorHAnsi" w:hAnsiTheme="minorHAnsi" w:cstheme="minorHAnsi"/>
          <w:b/>
          <w:i/>
          <w:sz w:val="20"/>
          <w:szCs w:val="20"/>
        </w:rPr>
        <w:t>mova makro</w:t>
      </w:r>
      <w:bookmarkStart w:id="0" w:name="_GoBack"/>
      <w:bookmarkEnd w:id="0"/>
      <w:r w:rsidRPr="005B5858">
        <w:rPr>
          <w:rFonts w:asciiTheme="minorHAnsi" w:hAnsiTheme="minorHAnsi" w:cstheme="minorHAnsi"/>
          <w:b/>
          <w:i/>
          <w:sz w:val="20"/>
          <w:szCs w:val="20"/>
        </w:rPr>
        <w:t>globulinémie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lymfoproliferativní onemocnění vyššího věku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podobá se zčásti plazmocytomu (produkce paraproteinu), zčásti CLL nebo lymfoplazmocytárnímu lymfomu (adenomegalie, splenomegalie, nález ve dřeni)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i/>
          <w:sz w:val="20"/>
          <w:szCs w:val="20"/>
        </w:rPr>
        <w:tab/>
        <w:t>klinický obraz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necharakteristické subjektivní potíže (únava, slabost)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 xml:space="preserve">povšechná mírná </w:t>
      </w:r>
      <w:r w:rsidRPr="005B5858">
        <w:rPr>
          <w:rFonts w:asciiTheme="minorHAnsi" w:hAnsiTheme="minorHAnsi" w:cstheme="minorHAnsi"/>
          <w:b/>
          <w:sz w:val="20"/>
          <w:szCs w:val="20"/>
        </w:rPr>
        <w:t>adenomegalie</w:t>
      </w:r>
      <w:r w:rsidRPr="005B5858">
        <w:rPr>
          <w:rFonts w:asciiTheme="minorHAnsi" w:hAnsiTheme="minorHAnsi" w:cstheme="minorHAnsi"/>
          <w:sz w:val="20"/>
          <w:szCs w:val="20"/>
        </w:rPr>
        <w:t xml:space="preserve">, mírná </w:t>
      </w:r>
      <w:r w:rsidRPr="005B5858">
        <w:rPr>
          <w:rFonts w:asciiTheme="minorHAnsi" w:hAnsiTheme="minorHAnsi" w:cstheme="minorHAnsi"/>
          <w:b/>
          <w:sz w:val="20"/>
          <w:szCs w:val="20"/>
        </w:rPr>
        <w:t>hepatosplenomegalie</w:t>
      </w:r>
    </w:p>
    <w:p w:rsidR="005B5858" w:rsidRPr="005B5858" w:rsidRDefault="005B5858" w:rsidP="005B5858">
      <w:pPr>
        <w:ind w:right="-284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ostatní příznaky vznikají v závislosti na produkci a koncentraci paraproteinu IgM (</w:t>
      </w:r>
      <w:r w:rsidRPr="005B5858">
        <w:rPr>
          <w:rFonts w:asciiTheme="minorHAnsi" w:hAnsiTheme="minorHAnsi" w:cstheme="minorHAnsi"/>
          <w:b/>
          <w:sz w:val="20"/>
          <w:szCs w:val="20"/>
        </w:rPr>
        <w:t>makroglobulin</w:t>
      </w:r>
      <w:r w:rsidRPr="005B5858">
        <w:rPr>
          <w:rFonts w:asciiTheme="minorHAnsi" w:hAnsiTheme="minorHAnsi" w:cstheme="minorHAnsi"/>
          <w:sz w:val="20"/>
          <w:szCs w:val="20"/>
        </w:rPr>
        <w:t>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 xml:space="preserve">makroglobulin působí </w:t>
      </w:r>
      <w:r w:rsidRPr="005B5858">
        <w:rPr>
          <w:rFonts w:asciiTheme="minorHAnsi" w:hAnsiTheme="minorHAnsi" w:cstheme="minorHAnsi"/>
          <w:b/>
          <w:sz w:val="20"/>
          <w:szCs w:val="20"/>
        </w:rPr>
        <w:t>hyperviskózní sy</w:t>
      </w:r>
      <w:r w:rsidRPr="005B5858">
        <w:rPr>
          <w:rFonts w:asciiTheme="minorHAnsi" w:hAnsiTheme="minorHAnsi" w:cstheme="minorHAnsi"/>
          <w:sz w:val="20"/>
          <w:szCs w:val="20"/>
        </w:rPr>
        <w:t>: porucha zraku při dilataci retinálních cév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neuropatie – neurotoxicita IgM – působení proti proteinům nervových pochev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>poruchy sluchu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asi 10% makroglobulinu tvoří kryoglobuliny (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AE"/>
      </w:r>
      <w:r w:rsidRPr="005B5858">
        <w:rPr>
          <w:rFonts w:asciiTheme="minorHAnsi" w:hAnsiTheme="minorHAnsi" w:cstheme="minorHAnsi"/>
          <w:sz w:val="20"/>
          <w:szCs w:val="20"/>
        </w:rPr>
        <w:t xml:space="preserve"> Raynaudův fenomén)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i/>
          <w:sz w:val="20"/>
          <w:szCs w:val="20"/>
        </w:rPr>
        <w:t>diagnostika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opírá se o laboratorní nálezy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vysoká FW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v periferní krvi mírná anémie</w:t>
      </w:r>
    </w:p>
    <w:p w:rsidR="005B5858" w:rsidRPr="005B5858" w:rsidRDefault="005B5858" w:rsidP="005B5858">
      <w:pPr>
        <w:ind w:right="-284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v kostní dřeni lymfocytární infiltrace s častějším výskytem přechodných tvarů (lymfoplazmocytů)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imunoelektroforéza prokáže přítomnost paraproteinu IgM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i/>
          <w:sz w:val="20"/>
          <w:szCs w:val="20"/>
        </w:rPr>
        <w:t>terapie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lékem volby je chlorambucil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účinný je také cyklofosfamid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při známkách hyperviskozity plazmaferéza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 xml:space="preserve">u rezistentních forem kombinovaná chemoterapie (fludarabin + mitoxantron + dexametazon) nebo léčba chimérickou monoklonální protilátkou (rituximab) 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</w:p>
    <w:p w:rsidR="005B5858" w:rsidRPr="005B5858" w:rsidRDefault="005B5858" w:rsidP="005B5858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5B5858">
        <w:rPr>
          <w:rFonts w:asciiTheme="minorHAnsi" w:hAnsiTheme="minorHAnsi" w:cstheme="minorHAnsi"/>
          <w:b/>
          <w:i/>
          <w:sz w:val="20"/>
          <w:szCs w:val="20"/>
        </w:rPr>
        <w:t>monoklonální gamapatie neurčeného významu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i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>= stav, kdy je v krvi nacházen paraprotein v hladině do 30g/l, v kostní dřeni není více než 10% plazmatických buněk a u nemocného nejsou nalezený ŽÁDNÉ příznaky orgánového poškození definovaného jako CRAB ( C- hyperkalcemie, R – renální insuficience, A – anémie, B – kostní léze) a zároveň nejsou nalezeny žádné známky lymfoproliferativního nebo jiného onemocnění spojeného s produkcí paraproteinu (plazmocytom, makroglobulinémie nebo amyloidóza)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muži postiženi častěji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u 1-3% obyvatel &gt; 50 let a u 3-5% nemocných &gt; 70 let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 xml:space="preserve">nález může být po mnoho let stacionární – označoval se jako benigní monoklonální gamapatie 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 xml:space="preserve">terapie po uzavření dg </w:t>
      </w:r>
      <w:r w:rsidRPr="005B5858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5B5858">
        <w:rPr>
          <w:rFonts w:asciiTheme="minorHAnsi" w:hAnsiTheme="minorHAnsi" w:cstheme="minorHAnsi"/>
          <w:sz w:val="20"/>
          <w:szCs w:val="20"/>
        </w:rPr>
        <w:t xml:space="preserve"> sledování (nejméně u ¼ dochází k maligní transformaci se vznikem mnohočetného myelomu, makroglobulinémie nebo amyloidózy)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</w:p>
    <w:p w:rsidR="005B5858" w:rsidRPr="005B5858" w:rsidRDefault="005B5858" w:rsidP="005B5858">
      <w:pPr>
        <w:rPr>
          <w:rFonts w:asciiTheme="minorHAnsi" w:hAnsiTheme="minorHAnsi" w:cstheme="minorHAnsi"/>
          <w:b/>
          <w:sz w:val="20"/>
          <w:szCs w:val="20"/>
        </w:rPr>
      </w:pPr>
      <w:r w:rsidRPr="005B5858">
        <w:rPr>
          <w:rFonts w:asciiTheme="minorHAnsi" w:hAnsiTheme="minorHAnsi" w:cstheme="minorHAnsi"/>
          <w:b/>
          <w:i/>
          <w:sz w:val="20"/>
          <w:szCs w:val="20"/>
        </w:rPr>
        <w:t>amyloidóza</w:t>
      </w:r>
    </w:p>
    <w:p w:rsidR="005B5858" w:rsidRPr="005B5858" w:rsidRDefault="005B5858" w:rsidP="005B5858">
      <w:pPr>
        <w:rPr>
          <w:rFonts w:asciiTheme="minorHAnsi" w:hAnsiTheme="minorHAnsi" w:cstheme="minorHAnsi"/>
          <w:b/>
          <w:sz w:val="20"/>
          <w:szCs w:val="20"/>
        </w:rPr>
      </w:pPr>
      <w:r w:rsidRPr="005B5858">
        <w:rPr>
          <w:rFonts w:asciiTheme="minorHAnsi" w:hAnsiTheme="minorHAnsi" w:cstheme="minorHAnsi"/>
          <w:b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 xml:space="preserve">způsobena plazmatickými buňkami, které secernují intaktní fragmenty lehkých řetězců abnormálních Ig 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primární amyloidóza: AL, sekundární amyloidóza: AA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lehké řetězce se ukládají jako depozita do různých tkání = AL amyloidóza</w:t>
      </w:r>
    </w:p>
    <w:p w:rsidR="005B5858" w:rsidRPr="005B5858" w:rsidRDefault="005B5858" w:rsidP="005B5858">
      <w:pPr>
        <w:rPr>
          <w:rFonts w:asciiTheme="minorHAnsi" w:hAnsiTheme="minorHAnsi" w:cstheme="minorHAnsi"/>
          <w:b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 xml:space="preserve">AL amyloidóza často </w:t>
      </w:r>
      <w:r w:rsidRPr="005B5858">
        <w:rPr>
          <w:rFonts w:asciiTheme="minorHAnsi" w:hAnsiTheme="minorHAnsi" w:cstheme="minorHAnsi"/>
          <w:b/>
          <w:sz w:val="20"/>
          <w:szCs w:val="20"/>
        </w:rPr>
        <w:t>provází plazmocytom</w:t>
      </w:r>
    </w:p>
    <w:p w:rsidR="005B5858" w:rsidRPr="005B5858" w:rsidRDefault="005B5858" w:rsidP="005B5858">
      <w:pPr>
        <w:rPr>
          <w:rFonts w:asciiTheme="minorHAnsi" w:hAnsiTheme="minorHAnsi" w:cstheme="minorHAnsi"/>
          <w:b/>
          <w:sz w:val="20"/>
          <w:szCs w:val="20"/>
        </w:rPr>
      </w:pPr>
      <w:r w:rsidRPr="005B5858">
        <w:rPr>
          <w:rFonts w:asciiTheme="minorHAnsi" w:hAnsiTheme="minorHAnsi" w:cstheme="minorHAnsi"/>
          <w:b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>fibrilární složka AL amyloidu – lehké řetězce Ig</w:t>
      </w:r>
    </w:p>
    <w:p w:rsidR="005B5858" w:rsidRPr="005B5858" w:rsidRDefault="005B5858" w:rsidP="005B5858">
      <w:pPr>
        <w:rPr>
          <w:rFonts w:asciiTheme="minorHAnsi" w:hAnsiTheme="minorHAnsi" w:cstheme="minorHAnsi"/>
          <w:b/>
          <w:sz w:val="20"/>
          <w:szCs w:val="20"/>
        </w:rPr>
      </w:pPr>
      <w:r w:rsidRPr="005B5858">
        <w:rPr>
          <w:rFonts w:asciiTheme="minorHAnsi" w:hAnsiTheme="minorHAnsi" w:cstheme="minorHAnsi"/>
          <w:b/>
          <w:sz w:val="20"/>
          <w:szCs w:val="20"/>
        </w:rPr>
        <w:tab/>
      </w:r>
      <w:r w:rsidRPr="005B5858">
        <w:rPr>
          <w:rFonts w:asciiTheme="minorHAnsi" w:hAnsiTheme="minorHAnsi" w:cstheme="minorHAnsi"/>
          <w:i/>
          <w:sz w:val="20"/>
          <w:szCs w:val="20"/>
        </w:rPr>
        <w:t>etiologie a patogeneze amyloidózy AL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etiologie není známá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patogeneze tvorby amyloidu není zcela objasněna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porucha degradace proteinů s jejich systémovým nebo lokálním ukládáním ve stěnách malých cév a v extracelulárním prostoru různých orgánů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 xml:space="preserve">tvorba amyloidových depozit – konečný děj podmíněný zvýšenou produkcí modifikovaných lehkých řetězců Ig (zejména 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6C"/>
      </w:r>
      <w:r w:rsidRPr="005B5858">
        <w:rPr>
          <w:rFonts w:asciiTheme="minorHAnsi" w:hAnsiTheme="minorHAnsi" w:cstheme="minorHAnsi"/>
          <w:sz w:val="20"/>
          <w:szCs w:val="20"/>
        </w:rPr>
        <w:t>) patologickým klonem plazmatických buněk v kostní dřeni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nadbytek vznikajících lehkých řetězců vyčerpá kapacitu makrofágů – ztrácejí možnost amyloid destruovat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amyloid se hromadí hlavně ve svalstvu kardiovaskulárního ústrojí, v jazyku, v plicích a v kůži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i/>
          <w:sz w:val="20"/>
          <w:szCs w:val="20"/>
        </w:rPr>
        <w:t>etiologie a patogeneze amyloidózy AA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vzniká na podkladě jiného primárního onemocnění charakterizovaného vysokou koncentrací IL-1, TNF-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61"/>
      </w:r>
      <w:r w:rsidRPr="005B5858">
        <w:rPr>
          <w:rFonts w:asciiTheme="minorHAnsi" w:hAnsiTheme="minorHAnsi" w:cstheme="minorHAnsi"/>
          <w:sz w:val="20"/>
          <w:szCs w:val="20"/>
        </w:rPr>
        <w:t>, IL-6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vysoká koncentrace těchto látek provází hnisavé záněty (osteomyelitida, tbc), autoimunitní onemocnění (RA, SLE, Crohnova choroba)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vytváří se prekurzorový protein SAA (serum amyloid-associated) v hepatocytech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makromolekuly SAA jsou pohlcovány fagocyty a štěpí se v lyzosomech na menší složky, které odpovídají amyloidovým fibrilám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AA amyloid se ukládá především v nadledvinách, ve slezině, v játrech, v ledvinách a ve střevě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závažné funkční důsledky má amyloidóza ledvin a střeva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 xml:space="preserve">v ledvině se amyloid ukládá v GBM 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AE"/>
      </w:r>
      <w:r w:rsidRPr="005B5858">
        <w:rPr>
          <w:rFonts w:asciiTheme="minorHAnsi" w:hAnsiTheme="minorHAnsi" w:cstheme="minorHAnsi"/>
          <w:sz w:val="20"/>
          <w:szCs w:val="20"/>
        </w:rPr>
        <w:t xml:space="preserve"> ztížení filtrace 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AE"/>
      </w:r>
      <w:r w:rsidRPr="005B5858">
        <w:rPr>
          <w:rFonts w:asciiTheme="minorHAnsi" w:hAnsiTheme="minorHAnsi" w:cstheme="minorHAnsi"/>
          <w:sz w:val="20"/>
          <w:szCs w:val="20"/>
        </w:rPr>
        <w:t xml:space="preserve"> proteinurie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 xml:space="preserve">ukládání amyloidu v bazální membráně střevního epitelu 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AE"/>
      </w:r>
      <w:r w:rsidRPr="005B5858">
        <w:rPr>
          <w:rFonts w:asciiTheme="minorHAnsi" w:hAnsiTheme="minorHAnsi" w:cstheme="minorHAnsi"/>
          <w:sz w:val="20"/>
          <w:szCs w:val="20"/>
        </w:rPr>
        <w:t xml:space="preserve"> malabsorpce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klinický obraz: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nejčastěji postihuje ledviny, pak srdce, játra, periferní autonomní nervstvo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 xml:space="preserve">nefrotický syndrom, </w:t>
      </w:r>
      <w:r w:rsidRPr="005B5858">
        <w:rPr>
          <w:rFonts w:asciiTheme="minorHAnsi" w:hAnsiTheme="minorHAnsi" w:cstheme="minorHAnsi"/>
          <w:sz w:val="20"/>
          <w:szCs w:val="20"/>
        </w:rPr>
        <w:tab/>
        <w:t>srdeční selhání, malabsorpce, únava, průjmy, hypotenze, kolapsy, syndrom karpálního tunelu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i/>
          <w:sz w:val="20"/>
          <w:szCs w:val="20"/>
        </w:rPr>
        <w:t>primární amyloidóza (AL)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vzniká bez zjevné příčiny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má progresivní ráz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často provází plazmocytom (předchází mu)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slabost, hmotnostní úbytek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často parestezie, závratě, projevy kardiálního selhání (amyloidóza srdce)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může být splenomegalie, hepatomegalie, adenomegalie, makroglosie, kožní purpura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postižení GIT amyloidem: průjmy, malabsorpční sy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hypotenze – většinou souvisí s progredujícím renálním postižením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u 30 – 40% se rozvíjí nefrotický sy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ve 20% je přítomen sy karpálního tunelu a neuropatie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proteinurie s vysokou koncentrací Bence-Jonesovy bílkoviny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v kostní dřeni lehce zvýšené procento plazmocytů nebo atypických lymfocytů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dg: bioptické vyšetření kůže, jazyka, rektální nebo bukální sliznice, ledvin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terapie – málo účinná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používané kombinace: melfalan + prednison + kolchicin; vincristin + cyklofosfamid + melfalan + prednison; vincristin + adrimycin + dexametazon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u refrakterních forem se zkouší thalidomid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prognóza je závažná, onemocnění pomalu progreduje a vede k selhání postiženého orgánu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průměrné přežití: 2 – 5 let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i/>
          <w:sz w:val="20"/>
          <w:szCs w:val="20"/>
        </w:rPr>
        <w:t>sekundární amyloidóza (AA)</w:t>
      </w:r>
    </w:p>
    <w:p w:rsidR="005B5858" w:rsidRPr="005B5858" w:rsidRDefault="005B5858" w:rsidP="005B5858">
      <w:pPr>
        <w:ind w:left="1418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příznaky závisejí na tom, který orgán je amyloidní infiltrací nejvíce postižen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renální příznaky: proteinurie, nefrotický sy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kardiální příznaky: městnavá srdeční slabost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GIT příznaky: malabsorpce, poruchy motility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kožní příznaky: papulomatózní léze v axilární, ingvinální nebo rektální oblasti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neurologické příznaky: periferní neuropatie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hematologické příznaky: koagulopatie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může být makroglosie, sy karpálního tunelu, hepatosplenomegalie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terapie: účinná protizánětlivá léčba základního onemocnění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zkouší se dlouhodobá imunosupresivní léčba azathioprinem, ciclosporinem nebo chlorambucilem</w:t>
      </w:r>
    </w:p>
    <w:p w:rsidR="005B5858" w:rsidRPr="005B5858" w:rsidRDefault="005B5858" w:rsidP="005B5858">
      <w:pPr>
        <w:ind w:left="900"/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stále větší uplatnění nachází biologická léčba, zejména inhibitory TNF-</w:t>
      </w:r>
      <w:r w:rsidRPr="005B5858">
        <w:rPr>
          <w:rFonts w:asciiTheme="minorHAnsi" w:hAnsiTheme="minorHAnsi" w:cstheme="minorHAnsi"/>
          <w:sz w:val="20"/>
          <w:szCs w:val="20"/>
        </w:rPr>
        <w:sym w:font="Symbol" w:char="F061"/>
      </w:r>
      <w:r w:rsidRPr="005B5858">
        <w:rPr>
          <w:rFonts w:asciiTheme="minorHAnsi" w:hAnsiTheme="minorHAnsi" w:cstheme="minorHAnsi"/>
          <w:sz w:val="20"/>
          <w:szCs w:val="20"/>
        </w:rPr>
        <w:t xml:space="preserve"> (infliximab, etanercept)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diagnostika: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paraprotein v séru a v moči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ECHO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SONO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CT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MRI</w:t>
      </w:r>
      <w:r w:rsidRPr="005B5858">
        <w:rPr>
          <w:rFonts w:asciiTheme="minorHAnsi" w:hAnsiTheme="minorHAnsi" w:cstheme="minorHAnsi"/>
          <w:sz w:val="20"/>
          <w:szCs w:val="20"/>
        </w:rPr>
        <w:br/>
      </w: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endoskopie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definitivní průkaz = histologické vyšetření – biopsie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amyloid se barví kongo červení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  <w:t>diferenciální diagnóza: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ab/>
      </w:r>
      <w:r w:rsidRPr="005B5858">
        <w:rPr>
          <w:rFonts w:asciiTheme="minorHAnsi" w:hAnsiTheme="minorHAnsi" w:cstheme="minorHAnsi"/>
          <w:sz w:val="20"/>
          <w:szCs w:val="20"/>
        </w:rPr>
        <w:tab/>
        <w:t>sekundární amyloidóza</w:t>
      </w:r>
    </w:p>
    <w:p w:rsidR="005B5858" w:rsidRPr="005B5858" w:rsidRDefault="005B5858" w:rsidP="005B5858">
      <w:pPr>
        <w:rPr>
          <w:rFonts w:asciiTheme="minorHAnsi" w:hAnsiTheme="minorHAnsi" w:cstheme="minorHAnsi"/>
          <w:sz w:val="20"/>
          <w:szCs w:val="20"/>
        </w:rPr>
      </w:pPr>
      <w:r w:rsidRPr="005B5858">
        <w:rPr>
          <w:rFonts w:asciiTheme="minorHAnsi" w:hAnsiTheme="minorHAnsi" w:cstheme="minorHAnsi"/>
          <w:sz w:val="20"/>
          <w:szCs w:val="20"/>
        </w:rPr>
        <w:t>léčba:</w:t>
      </w:r>
      <w:r w:rsidRPr="005B5858">
        <w:rPr>
          <w:rFonts w:asciiTheme="minorHAnsi" w:hAnsiTheme="minorHAnsi" w:cstheme="minorHAnsi"/>
          <w:sz w:val="20"/>
          <w:szCs w:val="20"/>
        </w:rPr>
        <w:tab/>
        <w:t>transplantace – před transplantací se podává Malfalan</w:t>
      </w:r>
    </w:p>
    <w:p w:rsidR="005B5858" w:rsidRDefault="005B5858" w:rsidP="005B5858">
      <w:pPr>
        <w:rPr>
          <w:rFonts w:ascii="Calibri" w:hAnsi="Calibri" w:cs="Calibri"/>
          <w:sz w:val="20"/>
          <w:szCs w:val="20"/>
        </w:rPr>
      </w:pPr>
    </w:p>
    <w:p w:rsidR="005B5858" w:rsidRPr="00945281" w:rsidRDefault="005B5858" w:rsidP="005B5858">
      <w:pPr>
        <w:rPr>
          <w:rFonts w:ascii="Calibri" w:hAnsi="Calibri" w:cs="Calibri"/>
          <w:sz w:val="20"/>
          <w:szCs w:val="20"/>
        </w:rPr>
      </w:pPr>
    </w:p>
    <w:p w:rsidR="005B5858" w:rsidRPr="00945281" w:rsidRDefault="005B5858" w:rsidP="005B5858">
      <w:pPr>
        <w:rPr>
          <w:rFonts w:ascii="Calibri" w:hAnsi="Calibri" w:cs="Calibri"/>
          <w:sz w:val="20"/>
          <w:szCs w:val="20"/>
        </w:rPr>
      </w:pPr>
    </w:p>
    <w:p w:rsidR="00C70860" w:rsidRDefault="005B5858" w:rsidP="005B5858"/>
    <w:sectPr w:rsidR="00C7086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79" w:rsidRDefault="005B5858" w:rsidP="004C38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66279" w:rsidRDefault="005B585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79" w:rsidRDefault="005B5858" w:rsidP="004C38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366279" w:rsidRDefault="005B5858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58"/>
    <w:rsid w:val="005B5858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B58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B58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5B5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B58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B58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5B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2012-12-14T22:05:00Z</dcterms:created>
  <dcterms:modified xsi:type="dcterms:W3CDTF">2012-12-14T22:11:00Z</dcterms:modified>
</cp:coreProperties>
</file>